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4F" w:rsidRPr="002728DB" w:rsidRDefault="00FA5C23" w:rsidP="001863BA">
      <w:pPr>
        <w:rPr>
          <w:rFonts w:ascii="標楷體" w:eastAsia="標楷體" w:hAnsi="標楷體" w:cs="標楷體"/>
          <w:szCs w:val="24"/>
        </w:rPr>
      </w:pPr>
      <w:bookmarkStart w:id="0" w:name="_Hlk53061486"/>
      <w:r>
        <w:rPr>
          <w:rFonts w:ascii="標楷體" w:eastAsia="標楷體" w:hAnsi="標楷體" w:cs="標楷體" w:hint="eastAsia"/>
          <w:szCs w:val="24"/>
        </w:rPr>
        <w:t>素養導向設計教案格式</w:t>
      </w:r>
    </w:p>
    <w:p w:rsidR="00221988" w:rsidRPr="002728DB" w:rsidRDefault="00221988" w:rsidP="001863BA">
      <w:pPr>
        <w:rPr>
          <w:rFonts w:ascii="標楷體" w:eastAsia="標楷體" w:hAnsi="標楷體" w:cs="標楷體"/>
          <w:szCs w:val="24"/>
        </w:rPr>
      </w:pPr>
    </w:p>
    <w:p w:rsidR="00221988" w:rsidRPr="002728DB" w:rsidRDefault="00221988" w:rsidP="00221988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2728DB">
        <w:rPr>
          <w:rFonts w:ascii="微軟正黑體" w:eastAsia="微軟正黑體" w:hAnsi="微軟正黑體" w:cs="Times New Roman" w:hint="eastAsia"/>
          <w:b/>
          <w:sz w:val="28"/>
          <w:szCs w:val="28"/>
        </w:rPr>
        <w:t>單元教學設計</w:t>
      </w:r>
      <w:r w:rsidRPr="002728DB">
        <w:rPr>
          <w:rFonts w:ascii="微軟正黑體" w:eastAsia="微軟正黑體" w:hAnsi="微軟正黑體" w:cs="Times New Roman"/>
          <w:b/>
          <w:sz w:val="28"/>
          <w:szCs w:val="28"/>
        </w:rPr>
        <w:t>參考格式</w:t>
      </w:r>
    </w:p>
    <w:p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一、設計理念</w:t>
      </w:r>
    </w:p>
    <w:p w:rsidR="00221988" w:rsidRPr="002728DB" w:rsidRDefault="00221988" w:rsidP="00221988">
      <w:pPr>
        <w:rPr>
          <w:rFonts w:ascii="標楷體" w:hAnsi="標楷體"/>
          <w:szCs w:val="24"/>
        </w:rPr>
      </w:pPr>
      <w:r w:rsidRPr="002728DB">
        <w:rPr>
          <w:rFonts w:ascii="標楷體" w:hAnsi="標楷體" w:hint="eastAsia"/>
          <w:szCs w:val="24"/>
        </w:rPr>
        <w:t>簡要說明本案例之教學設計理念，</w:t>
      </w:r>
      <w:proofErr w:type="gramStart"/>
      <w:r w:rsidRPr="002728DB">
        <w:rPr>
          <w:rFonts w:ascii="標楷體" w:hAnsi="標楷體" w:hint="eastAsia"/>
          <w:szCs w:val="24"/>
        </w:rPr>
        <w:t>敘寫重點</w:t>
      </w:r>
      <w:proofErr w:type="gramEnd"/>
      <w:r w:rsidRPr="002728DB">
        <w:rPr>
          <w:rFonts w:ascii="標楷體" w:hAnsi="標楷體" w:hint="eastAsia"/>
          <w:szCs w:val="24"/>
        </w:rPr>
        <w:t>可包括：</w:t>
      </w:r>
    </w:p>
    <w:p w:rsidR="00221988" w:rsidRPr="002728DB" w:rsidRDefault="0022198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2728DB">
        <w:rPr>
          <w:rFonts w:ascii="標楷體" w:eastAsia="標楷體" w:hAnsi="標楷體" w:cs="標楷體" w:hint="eastAsia"/>
        </w:rPr>
        <w:t>(</w:t>
      </w:r>
      <w:proofErr w:type="gramStart"/>
      <w:r w:rsidRPr="002728DB">
        <w:rPr>
          <w:rFonts w:ascii="標楷體" w:eastAsia="標楷體" w:hAnsi="標楷體" w:cs="標楷體" w:hint="eastAsia"/>
        </w:rPr>
        <w:t>一</w:t>
      </w:r>
      <w:proofErr w:type="gramEnd"/>
      <w:r w:rsidRPr="002728DB">
        <w:rPr>
          <w:rFonts w:ascii="標楷體" w:eastAsia="標楷體" w:hAnsi="標楷體" w:cs="標楷體" w:hint="eastAsia"/>
        </w:rPr>
        <w:t>)</w:t>
      </w:r>
      <w:r w:rsidRPr="002728DB">
        <w:rPr>
          <w:rFonts w:ascii="標楷體" w:eastAsia="標楷體" w:hAnsi="標楷體" w:hint="eastAsia"/>
        </w:rPr>
        <w:t>單元的設計緣起、背景、意涵與重要性。</w:t>
      </w:r>
    </w:p>
    <w:p w:rsidR="00221988" w:rsidRPr="002728DB" w:rsidRDefault="0022198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2728DB">
        <w:rPr>
          <w:rFonts w:ascii="標楷體" w:eastAsia="標楷體" w:hAnsi="標楷體" w:cs="標楷體" w:hint="eastAsia"/>
        </w:rPr>
        <w:t>(二)</w:t>
      </w:r>
      <w:r w:rsidRPr="002728DB">
        <w:rPr>
          <w:rFonts w:ascii="標楷體" w:eastAsia="標楷體" w:hAnsi="標楷體" w:hint="eastAsia"/>
        </w:rPr>
        <w:t>學生學習特質與需求（起始行為或先備知識）。</w:t>
      </w:r>
    </w:p>
    <w:p w:rsidR="00221988" w:rsidRPr="002728DB" w:rsidRDefault="0022198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2728DB">
        <w:rPr>
          <w:rFonts w:ascii="標楷體" w:eastAsia="標楷體" w:hAnsi="標楷體" w:hint="eastAsia"/>
        </w:rPr>
        <w:t>(三)核心素養的展現(如知識、情意、能力的整合，學習情境與脈絡、學習歷程與方法、實踐力行的表現)。</w:t>
      </w:r>
    </w:p>
    <w:p w:rsidR="00221988" w:rsidRPr="002728DB" w:rsidRDefault="0022198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2728DB">
        <w:rPr>
          <w:rFonts w:ascii="標楷體" w:eastAsia="標楷體" w:hAnsi="標楷體" w:hint="eastAsia"/>
        </w:rPr>
        <w:t>(四)學習重點(表現與內容)的統整與銜接。</w:t>
      </w:r>
    </w:p>
    <w:p w:rsidR="00221988" w:rsidRPr="002728DB" w:rsidRDefault="0022198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2728DB">
        <w:rPr>
          <w:rFonts w:ascii="標楷體" w:eastAsia="標楷體" w:hAnsi="標楷體" w:hint="eastAsia"/>
        </w:rPr>
        <w:t>(五)議題融入與跨科/領域統整的規劃。</w:t>
      </w:r>
    </w:p>
    <w:p w:rsidR="00221988" w:rsidRPr="002728DB" w:rsidRDefault="00221988" w:rsidP="00221988">
      <w:pPr>
        <w:rPr>
          <w:rFonts w:ascii="標楷體" w:hAnsi="標楷體"/>
          <w:b/>
          <w:szCs w:val="24"/>
        </w:rPr>
      </w:pPr>
      <w:r w:rsidRPr="002728DB">
        <w:rPr>
          <w:rFonts w:ascii="標楷體" w:hAnsi="標楷體" w:hint="eastAsia"/>
          <w:szCs w:val="24"/>
        </w:rPr>
        <w:t>(</w:t>
      </w:r>
      <w:r w:rsidRPr="002728DB">
        <w:rPr>
          <w:rFonts w:ascii="標楷體" w:hAnsi="標楷體" w:hint="eastAsia"/>
          <w:szCs w:val="24"/>
        </w:rPr>
        <w:t>六</w:t>
      </w:r>
      <w:r w:rsidRPr="002728DB">
        <w:rPr>
          <w:rFonts w:ascii="標楷體" w:hAnsi="標楷體" w:hint="eastAsia"/>
          <w:szCs w:val="24"/>
        </w:rPr>
        <w:t>)</w:t>
      </w:r>
      <w:r w:rsidRPr="002728DB">
        <w:rPr>
          <w:rFonts w:ascii="標楷體" w:hAnsi="標楷體" w:hint="eastAsia"/>
          <w:szCs w:val="24"/>
        </w:rPr>
        <w:t>重要教學策略與評量的說明。</w:t>
      </w:r>
    </w:p>
    <w:p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二、單元架構</w:t>
      </w:r>
    </w:p>
    <w:p w:rsidR="00221988" w:rsidRPr="002728DB" w:rsidRDefault="00221988" w:rsidP="00221988">
      <w:pPr>
        <w:rPr>
          <w:rFonts w:ascii="標楷體" w:hAnsi="標楷體"/>
          <w:szCs w:val="24"/>
        </w:rPr>
      </w:pPr>
      <w:r w:rsidRPr="002728DB">
        <w:rPr>
          <w:rFonts w:ascii="標楷體" w:hAnsi="標楷體" w:hint="eastAsia"/>
          <w:szCs w:val="24"/>
        </w:rPr>
        <w:t>以圖或表摘要呈現本單元的內容或教學架構。</w:t>
      </w:r>
    </w:p>
    <w:p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三、活動設計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860"/>
        <w:gridCol w:w="283"/>
        <w:gridCol w:w="851"/>
        <w:gridCol w:w="320"/>
        <w:gridCol w:w="3424"/>
      </w:tblGrid>
      <w:tr w:rsidR="002728DB" w:rsidRPr="002728DB" w:rsidTr="00732878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設計/教學者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2728DB" w:rsidRPr="002728DB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000000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共_______節，_____分鐘</w:t>
            </w:r>
          </w:p>
        </w:tc>
      </w:tr>
      <w:tr w:rsidR="002728DB" w:rsidRPr="002728DB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2728DB" w:rsidRPr="002728DB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2728DB" w:rsidRPr="002728DB" w:rsidTr="00732878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hAnsi="標楷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列出相關的學習表現，且能具體表現在學習目標上。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hAnsi="標楷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核心</w:t>
            </w:r>
          </w:p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3"/>
              </w:numPr>
              <w:snapToGrid w:val="0"/>
              <w:ind w:leftChars="0" w:left="189" w:hanging="189"/>
              <w:rPr>
                <w:rFonts w:hAnsi="標楷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先條列總綱核心素養的面向與項目。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3"/>
              </w:numPr>
              <w:snapToGrid w:val="0"/>
              <w:ind w:leftChars="0" w:left="189" w:hanging="189"/>
              <w:rPr>
                <w:rFonts w:hAnsi="標楷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再條列領綱核心素養的具體內涵。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3"/>
              </w:numPr>
              <w:snapToGrid w:val="0"/>
              <w:ind w:leftChars="0" w:left="189" w:hanging="189"/>
              <w:rPr>
                <w:rFonts w:hAnsi="標楷體"/>
                <w:noProof/>
                <w:u w:val="single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僅列舉與本單元學習具高度相關性的核心素養。</w:t>
            </w:r>
          </w:p>
        </w:tc>
      </w:tr>
      <w:tr w:rsidR="002728DB" w:rsidRPr="002728DB" w:rsidTr="00732878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240" w:hangingChars="100" w:hanging="240"/>
              <w:rPr>
                <w:rFonts w:hAnsi="標楷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列出相關的學習內容，且能具體表現在學習目標上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微軟正黑體" w:eastAsia="微軟正黑體" w:hAnsi="微軟正黑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2728DB" w:rsidRPr="002728DB" w:rsidTr="0073287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</w:p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szCs w:val="24"/>
              </w:rPr>
              <w:t>以總綱十九項議題為主，考量議題核心精神與本單元學習重點的連結，</w:t>
            </w:r>
            <w:r w:rsidRPr="002728DB">
              <w:rPr>
                <w:rFonts w:ascii="標楷體" w:hAnsi="標楷體" w:hint="eastAsia"/>
                <w:noProof/>
                <w:szCs w:val="24"/>
              </w:rPr>
              <w:t>視需要列出擬融入的議題名稱與學習主題。</w:t>
            </w:r>
          </w:p>
        </w:tc>
      </w:tr>
      <w:tr w:rsidR="002728DB" w:rsidRPr="002728DB" w:rsidTr="0073287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列出與前列呼應的議題實質內涵。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雖非必要項目，但在撰寫案例時仍鼓勵儘可能融入相關議題，惟仍請掌握「適切」原則，避免牽強。</w:t>
            </w:r>
          </w:p>
        </w:tc>
      </w:tr>
      <w:tr w:rsidR="002728DB" w:rsidRPr="002728DB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5"/>
            <w:tcBorders>
              <w:bottom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視需要列出。</w:t>
            </w:r>
          </w:p>
        </w:tc>
      </w:tr>
      <w:tr w:rsidR="002728DB" w:rsidRPr="002728DB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微軟正黑體" w:eastAsia="微軟正黑體" w:hAnsi="微軟正黑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列出本單元教學設計所依據的教科書或其他教材的版本、冊次及頁碼等。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b/>
                <w:noProof/>
                <w:sz w:val="22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其他參考資源請視性質列於「參考資料」或「附錄」。</w:t>
            </w:r>
          </w:p>
        </w:tc>
      </w:tr>
      <w:tr w:rsidR="002728DB" w:rsidRPr="002728DB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學習目標</w:t>
            </w:r>
          </w:p>
        </w:tc>
      </w:tr>
      <w:tr w:rsidR="002728DB" w:rsidRPr="002728DB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以淺顯易懂文字條列本單元學習目標。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結合學習表現與學習內容，呼應核心素養。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hAnsi="標楷體"/>
                <w:noProof/>
                <w:szCs w:val="24"/>
                <w:u w:val="single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敘寫時建議參考「學習表現及學習內容雙向細目表」的架構。</w:t>
            </w:r>
          </w:p>
        </w:tc>
      </w:tr>
    </w:tbl>
    <w:p w:rsidR="00221988" w:rsidRPr="002728DB" w:rsidRDefault="00221988" w:rsidP="00221988">
      <w:pPr>
        <w:snapToGrid w:val="0"/>
        <w:rPr>
          <w:rFonts w:ascii="微軟正黑體" w:eastAsia="微軟正黑體" w:hAnsi="微軟正黑體"/>
          <w:szCs w:val="24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8"/>
        <w:gridCol w:w="3969"/>
        <w:gridCol w:w="1218"/>
      </w:tblGrid>
      <w:tr w:rsidR="002728DB" w:rsidRPr="002728DB" w:rsidTr="0073287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學習活動設計</w:t>
            </w:r>
          </w:p>
        </w:tc>
      </w:tr>
      <w:tr w:rsidR="002728DB" w:rsidRPr="002728DB" w:rsidTr="00732878">
        <w:trPr>
          <w:trHeight w:val="70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學習引導內容及實施方式（含時間分配）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備註</w:t>
            </w:r>
          </w:p>
        </w:tc>
      </w:tr>
      <w:tr w:rsidR="002728DB" w:rsidRPr="002728DB" w:rsidTr="00732878">
        <w:trPr>
          <w:trHeight w:val="56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摘要說明學習活動內容及引導重點，請考量如何使學習活動及其引導方式更有助於促進核心素養（三面九項）的養成與素養導向教學（如：整合知識情意技能、結合生活情境與實踐、強化對學習策略與學習過程的省思等）的落實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學習活動可包括引起動機、發展活動、總結活動、評量活動、延伸活動等，並以簡要的教學流程呈現。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8" w:rsidRPr="002728DB" w:rsidRDefault="00221988" w:rsidP="00732878">
            <w:pPr>
              <w:widowControl/>
              <w:numPr>
                <w:ilvl w:val="0"/>
                <w:numId w:val="4"/>
              </w:numPr>
              <w:ind w:left="240" w:hangingChars="100" w:hanging="240"/>
              <w:rPr>
                <w:rFonts w:ascii="標楷體" w:hAnsi="標楷體"/>
                <w:b/>
                <w:noProof/>
                <w:szCs w:val="24"/>
              </w:rPr>
            </w:pPr>
            <w:r w:rsidRPr="002728DB">
              <w:rPr>
                <w:rFonts w:ascii="標楷體" w:hAnsi="標楷體" w:hint="eastAsia"/>
                <w:szCs w:val="24"/>
              </w:rPr>
              <w:t>搭配學習流程，</w:t>
            </w:r>
            <w:r w:rsidRPr="002728DB">
              <w:rPr>
                <w:rFonts w:ascii="標楷體" w:hAnsi="標楷體" w:hint="eastAsia"/>
                <w:noProof/>
                <w:szCs w:val="24"/>
              </w:rPr>
              <w:t>簡要說明各項學習活動的評量方式及內容，提出可採行的方法、重要過程、規準或指標等。</w:t>
            </w:r>
          </w:p>
          <w:p w:rsidR="00221988" w:rsidRPr="002728DB" w:rsidRDefault="00221988" w:rsidP="00732878">
            <w:pPr>
              <w:widowControl/>
              <w:numPr>
                <w:ilvl w:val="0"/>
                <w:numId w:val="4"/>
              </w:numPr>
              <w:ind w:left="240" w:hangingChars="100" w:hanging="240"/>
              <w:rPr>
                <w:rFonts w:ascii="標楷體" w:hAnsi="標楷體"/>
                <w:b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評量時機、方式及內容應能有效連結學習目標、學習重點及學習活動，並促進核心素養內涵的落實。</w:t>
            </w:r>
          </w:p>
          <w:p w:rsidR="00221988" w:rsidRPr="002728DB" w:rsidRDefault="00221988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評量工具，如學習單、檢核表或同儕互評表等之完整內容，請列於</w:t>
            </w:r>
            <w:r w:rsidRPr="002728DB">
              <w:rPr>
                <w:rFonts w:ascii="新細明體" w:eastAsia="新細明體" w:hAnsi="新細明體" w:hint="eastAsia"/>
                <w:noProof/>
                <w:szCs w:val="24"/>
              </w:rPr>
              <w:t>「</w:t>
            </w:r>
            <w:r w:rsidRPr="002728DB">
              <w:rPr>
                <w:rFonts w:ascii="標楷體" w:hAnsi="標楷體" w:hint="eastAsia"/>
                <w:noProof/>
                <w:szCs w:val="24"/>
              </w:rPr>
              <w:t>附錄</w:t>
            </w:r>
            <w:r w:rsidRPr="002728DB">
              <w:rPr>
                <w:rFonts w:ascii="新細明體" w:eastAsia="新細明體" w:hAnsi="新細明體" w:hint="eastAsia"/>
                <w:noProof/>
                <w:szCs w:val="24"/>
              </w:rPr>
              <w:t>」</w:t>
            </w:r>
            <w:r w:rsidRPr="002728DB">
              <w:rPr>
                <w:rFonts w:ascii="標楷體" w:hAnsi="標楷體" w:hint="eastAsia"/>
                <w:noProof/>
                <w:szCs w:val="24"/>
              </w:rPr>
              <w:t>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1988" w:rsidRPr="002728DB" w:rsidRDefault="00221988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hAnsi="標楷體"/>
                <w:b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教學提醒事項</w:t>
            </w:r>
          </w:p>
        </w:tc>
      </w:tr>
      <w:tr w:rsidR="002728DB" w:rsidRPr="002728DB" w:rsidTr="00732878">
        <w:trPr>
          <w:trHeight w:val="93"/>
          <w:jc w:val="center"/>
        </w:trPr>
        <w:tc>
          <w:tcPr>
            <w:tcW w:w="10275" w:type="dxa"/>
            <w:gridSpan w:val="3"/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教學設備/資源：</w:t>
            </w:r>
          </w:p>
          <w:p w:rsidR="00221988" w:rsidRPr="002728DB" w:rsidRDefault="00221988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若有教學時需使用的器材、設備或其他資源時，請列出。</w:t>
            </w:r>
          </w:p>
        </w:tc>
      </w:tr>
      <w:tr w:rsidR="002728DB" w:rsidRPr="002728DB" w:rsidTr="00732878">
        <w:trPr>
          <w:trHeight w:val="93"/>
          <w:jc w:val="center"/>
        </w:trPr>
        <w:tc>
          <w:tcPr>
            <w:tcW w:w="10275" w:type="dxa"/>
            <w:gridSpan w:val="3"/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參考資料：</w:t>
            </w:r>
          </w:p>
          <w:p w:rsidR="00221988" w:rsidRPr="002728DB" w:rsidRDefault="00221988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微軟正黑體" w:eastAsia="微軟正黑體" w:hAnsi="微軟正黑體"/>
                <w:noProof/>
                <w:szCs w:val="24"/>
              </w:rPr>
            </w:pPr>
            <w:r w:rsidRPr="002728DB">
              <w:rPr>
                <w:rFonts w:hAnsi="標楷體" w:hint="eastAsia"/>
                <w:noProof/>
                <w:szCs w:val="24"/>
              </w:rPr>
              <w:t>若有參考資料請列出。可參考一般論文</w:t>
            </w:r>
            <w:r w:rsidRPr="002728DB">
              <w:rPr>
                <w:rFonts w:ascii="新細明體" w:eastAsia="新細明體" w:hAnsi="新細明體" w:hint="eastAsia"/>
                <w:noProof/>
                <w:szCs w:val="24"/>
              </w:rPr>
              <w:t>「</w:t>
            </w:r>
            <w:r w:rsidRPr="002728DB">
              <w:rPr>
                <w:rFonts w:hAnsi="標楷體" w:hint="eastAsia"/>
                <w:noProof/>
                <w:szCs w:val="24"/>
              </w:rPr>
              <w:t>參考文獻</w:t>
            </w:r>
            <w:r w:rsidRPr="002728DB">
              <w:rPr>
                <w:rFonts w:ascii="新細明體" w:eastAsia="新細明體" w:hAnsi="新細明體" w:hint="eastAsia"/>
                <w:noProof/>
                <w:szCs w:val="24"/>
              </w:rPr>
              <w:t>」</w:t>
            </w:r>
            <w:r w:rsidRPr="002728DB">
              <w:rPr>
                <w:rFonts w:hAnsi="標楷體" w:hint="eastAsia"/>
                <w:noProof/>
                <w:szCs w:val="24"/>
              </w:rPr>
              <w:t>之格式撰寫。</w:t>
            </w:r>
          </w:p>
        </w:tc>
      </w:tr>
      <w:tr w:rsidR="00221988" w:rsidRPr="002728DB" w:rsidTr="00732878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附錄：</w:t>
            </w:r>
          </w:p>
          <w:p w:rsidR="00221988" w:rsidRPr="002728DB" w:rsidRDefault="00221988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視需要列出學生學習或評量所使用的各項媒材，如：教學簡報、講義、學習單、檢核表或同儕互評表等。</w:t>
            </w:r>
          </w:p>
          <w:p w:rsidR="00221988" w:rsidRPr="002728DB" w:rsidRDefault="00221988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2728DB">
              <w:rPr>
                <w:rFonts w:ascii="標楷體" w:hAnsi="標楷體" w:hint="eastAsia"/>
                <w:noProof/>
                <w:szCs w:val="24"/>
              </w:rPr>
              <w:t>視需要列出教師教學所需的補充資料。</w:t>
            </w:r>
          </w:p>
        </w:tc>
      </w:tr>
    </w:tbl>
    <w:p w:rsidR="00221988" w:rsidRPr="002728DB" w:rsidRDefault="00221988" w:rsidP="00221988"/>
    <w:p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四、教學成果與省思</w:t>
      </w:r>
    </w:p>
    <w:p w:rsidR="00221988" w:rsidRPr="002728DB" w:rsidRDefault="00221988" w:rsidP="00221988">
      <w:pPr>
        <w:pStyle w:val="a7"/>
        <w:numPr>
          <w:ilvl w:val="0"/>
          <w:numId w:val="6"/>
        </w:numPr>
        <w:ind w:leftChars="0" w:left="240" w:hangingChars="100" w:hanging="240"/>
        <w:rPr>
          <w:rFonts w:hAnsi="標楷體"/>
          <w:noProof/>
          <w:szCs w:val="24"/>
        </w:rPr>
      </w:pPr>
      <w:r w:rsidRPr="002728DB">
        <w:rPr>
          <w:rFonts w:hAnsi="標楷體" w:hint="eastAsia"/>
          <w:noProof/>
          <w:szCs w:val="24"/>
        </w:rPr>
        <w:t>可包括</w:t>
      </w:r>
      <w:r w:rsidRPr="002728DB">
        <w:rPr>
          <w:rFonts w:ascii="標楷體" w:hAnsi="標楷體" w:hint="eastAsia"/>
          <w:szCs w:val="24"/>
        </w:rPr>
        <w:t>學習歷程案例的紀錄與分析、學生學習成果與問題的分析、教師教學心得、</w:t>
      </w:r>
      <w:proofErr w:type="gramStart"/>
      <w:r w:rsidRPr="002728DB">
        <w:rPr>
          <w:rFonts w:ascii="標楷體" w:hAnsi="標楷體" w:hint="eastAsia"/>
          <w:szCs w:val="24"/>
        </w:rPr>
        <w:t>觀課者</w:t>
      </w:r>
      <w:proofErr w:type="gramEnd"/>
      <w:r w:rsidRPr="002728DB">
        <w:rPr>
          <w:rFonts w:ascii="標楷體" w:hAnsi="標楷體" w:hint="eastAsia"/>
          <w:szCs w:val="24"/>
        </w:rPr>
        <w:t>心得、學習者心得等。</w:t>
      </w:r>
    </w:p>
    <w:p w:rsidR="00221988" w:rsidRPr="002728DB" w:rsidRDefault="00221988" w:rsidP="00221988">
      <w:pPr>
        <w:pStyle w:val="a7"/>
        <w:numPr>
          <w:ilvl w:val="0"/>
          <w:numId w:val="6"/>
        </w:numPr>
        <w:ind w:leftChars="0" w:left="240" w:hangingChars="100" w:hanging="240"/>
        <w:rPr>
          <w:rFonts w:ascii="微軟正黑體" w:eastAsia="微軟正黑體" w:hAnsi="微軟正黑體"/>
          <w:b/>
          <w:szCs w:val="24"/>
        </w:rPr>
      </w:pPr>
      <w:r w:rsidRPr="002728DB">
        <w:rPr>
          <w:rFonts w:hAnsi="標楷體" w:hint="eastAsia"/>
          <w:noProof/>
          <w:szCs w:val="24"/>
        </w:rPr>
        <w:t>視需要列出。</w:t>
      </w:r>
    </w:p>
    <w:p w:rsidR="00221988" w:rsidRPr="002728DB" w:rsidRDefault="00221988" w:rsidP="001863BA">
      <w:pPr>
        <w:rPr>
          <w:rFonts w:ascii="標楷體" w:eastAsia="標楷體" w:hAnsi="標楷體" w:cs="標楷體"/>
          <w:szCs w:val="24"/>
        </w:rPr>
      </w:pPr>
    </w:p>
    <w:p w:rsidR="00221988" w:rsidRPr="002728DB" w:rsidRDefault="00221988" w:rsidP="001863BA">
      <w:pPr>
        <w:rPr>
          <w:rFonts w:ascii="標楷體" w:eastAsia="標楷體" w:hAnsi="標楷體" w:cs="標楷體"/>
          <w:szCs w:val="24"/>
        </w:rPr>
      </w:pPr>
    </w:p>
    <w:p w:rsidR="00221988" w:rsidRPr="002728DB" w:rsidRDefault="00221988" w:rsidP="001863BA">
      <w:pPr>
        <w:rPr>
          <w:rFonts w:ascii="標楷體" w:eastAsia="標楷體" w:hAnsi="標楷體" w:cs="標楷體"/>
          <w:szCs w:val="24"/>
        </w:rPr>
      </w:pPr>
    </w:p>
    <w:p w:rsidR="00221988" w:rsidRPr="002728DB" w:rsidRDefault="00221988" w:rsidP="001863BA">
      <w:pPr>
        <w:rPr>
          <w:rFonts w:ascii="標楷體" w:eastAsia="標楷體" w:hAnsi="標楷體" w:cs="標楷體"/>
          <w:szCs w:val="24"/>
        </w:rPr>
      </w:pPr>
    </w:p>
    <w:p w:rsidR="00562F42" w:rsidRPr="002728DB" w:rsidRDefault="00562F42" w:rsidP="001863BA">
      <w:pPr>
        <w:rPr>
          <w:rFonts w:ascii="標楷體" w:eastAsia="標楷體" w:hAnsi="標楷體" w:cs="標楷體"/>
          <w:szCs w:val="24"/>
        </w:rPr>
      </w:pPr>
    </w:p>
    <w:p w:rsidR="00562F42" w:rsidRPr="002728DB" w:rsidRDefault="00562F42" w:rsidP="001863BA">
      <w:pPr>
        <w:rPr>
          <w:rFonts w:ascii="標楷體" w:eastAsia="標楷體" w:hAnsi="標楷體" w:cs="標楷體"/>
          <w:szCs w:val="24"/>
        </w:rPr>
      </w:pPr>
    </w:p>
    <w:p w:rsidR="009A7917" w:rsidRPr="002728DB" w:rsidRDefault="009A7917">
      <w:pPr>
        <w:rPr>
          <w:rFonts w:hint="eastAsia"/>
        </w:rPr>
      </w:pPr>
      <w:bookmarkStart w:id="1" w:name="_GoBack"/>
      <w:bookmarkEnd w:id="0"/>
      <w:bookmarkEnd w:id="1"/>
    </w:p>
    <w:sectPr w:rsidR="009A7917" w:rsidRPr="002728DB" w:rsidSect="0003605C">
      <w:footerReference w:type="even" r:id="rId7"/>
      <w:footerReference w:type="default" r:id="rId8"/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D60" w:rsidRDefault="00432D60">
      <w:r>
        <w:separator/>
      </w:r>
    </w:p>
  </w:endnote>
  <w:endnote w:type="continuationSeparator" w:id="0">
    <w:p w:rsidR="00432D60" w:rsidRDefault="0043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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C2983" w:rsidRDefault="00DC29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13</w:t>
    </w:r>
    <w:r>
      <w:rPr>
        <w:rStyle w:val="af3"/>
      </w:rPr>
      <w:fldChar w:fldCharType="end"/>
    </w:r>
  </w:p>
  <w:p w:rsidR="00DC2983" w:rsidRDefault="00DC29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D60" w:rsidRDefault="00432D60">
      <w:r>
        <w:separator/>
      </w:r>
    </w:p>
  </w:footnote>
  <w:footnote w:type="continuationSeparator" w:id="0">
    <w:p w:rsidR="00432D60" w:rsidRDefault="0043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87F00"/>
    <w:multiLevelType w:val="hybridMultilevel"/>
    <w:tmpl w:val="F83E269E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CC4F14"/>
    <w:multiLevelType w:val="hybridMultilevel"/>
    <w:tmpl w:val="BB961320"/>
    <w:lvl w:ilvl="0" w:tplc="F314EA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BA"/>
    <w:rsid w:val="00013E07"/>
    <w:rsid w:val="0003605C"/>
    <w:rsid w:val="000501A4"/>
    <w:rsid w:val="00084A5C"/>
    <w:rsid w:val="000F03F5"/>
    <w:rsid w:val="00111AC9"/>
    <w:rsid w:val="00114587"/>
    <w:rsid w:val="0011567E"/>
    <w:rsid w:val="001167EC"/>
    <w:rsid w:val="0012176E"/>
    <w:rsid w:val="00153173"/>
    <w:rsid w:val="00164B1F"/>
    <w:rsid w:val="00176B87"/>
    <w:rsid w:val="001821DD"/>
    <w:rsid w:val="001863BA"/>
    <w:rsid w:val="00190237"/>
    <w:rsid w:val="001D3AF7"/>
    <w:rsid w:val="00221988"/>
    <w:rsid w:val="0025127A"/>
    <w:rsid w:val="00263C59"/>
    <w:rsid w:val="002728DB"/>
    <w:rsid w:val="00274CD3"/>
    <w:rsid w:val="002F043D"/>
    <w:rsid w:val="00303BE4"/>
    <w:rsid w:val="00315456"/>
    <w:rsid w:val="00320F5E"/>
    <w:rsid w:val="003579FF"/>
    <w:rsid w:val="003C2B06"/>
    <w:rsid w:val="003C4DB1"/>
    <w:rsid w:val="00432D60"/>
    <w:rsid w:val="004829DD"/>
    <w:rsid w:val="00485F7D"/>
    <w:rsid w:val="004B72FC"/>
    <w:rsid w:val="004B7F25"/>
    <w:rsid w:val="004D4C55"/>
    <w:rsid w:val="004F3727"/>
    <w:rsid w:val="005300A0"/>
    <w:rsid w:val="00555AB9"/>
    <w:rsid w:val="00561582"/>
    <w:rsid w:val="00562F42"/>
    <w:rsid w:val="005A61A6"/>
    <w:rsid w:val="005B55D1"/>
    <w:rsid w:val="005D10BD"/>
    <w:rsid w:val="005D14C1"/>
    <w:rsid w:val="005E33FD"/>
    <w:rsid w:val="005E5493"/>
    <w:rsid w:val="005E62A7"/>
    <w:rsid w:val="005E6B0A"/>
    <w:rsid w:val="006563A8"/>
    <w:rsid w:val="00666101"/>
    <w:rsid w:val="00682D16"/>
    <w:rsid w:val="0069395C"/>
    <w:rsid w:val="006B5F9E"/>
    <w:rsid w:val="006C14FD"/>
    <w:rsid w:val="006E39F5"/>
    <w:rsid w:val="00732878"/>
    <w:rsid w:val="00763F4F"/>
    <w:rsid w:val="0077437B"/>
    <w:rsid w:val="007834E7"/>
    <w:rsid w:val="00785789"/>
    <w:rsid w:val="007A6C32"/>
    <w:rsid w:val="007C715A"/>
    <w:rsid w:val="00806233"/>
    <w:rsid w:val="0081133A"/>
    <w:rsid w:val="00851ED2"/>
    <w:rsid w:val="008D28E6"/>
    <w:rsid w:val="008E27CA"/>
    <w:rsid w:val="009207F3"/>
    <w:rsid w:val="00935762"/>
    <w:rsid w:val="00944FEA"/>
    <w:rsid w:val="00980318"/>
    <w:rsid w:val="00985367"/>
    <w:rsid w:val="00996DAF"/>
    <w:rsid w:val="009A7917"/>
    <w:rsid w:val="009C5003"/>
    <w:rsid w:val="00A30A25"/>
    <w:rsid w:val="00A30AD2"/>
    <w:rsid w:val="00A40D00"/>
    <w:rsid w:val="00A412AC"/>
    <w:rsid w:val="00A52623"/>
    <w:rsid w:val="00A8655F"/>
    <w:rsid w:val="00AC7507"/>
    <w:rsid w:val="00B13305"/>
    <w:rsid w:val="00B52BD2"/>
    <w:rsid w:val="00B67CC1"/>
    <w:rsid w:val="00B71481"/>
    <w:rsid w:val="00BA1DE7"/>
    <w:rsid w:val="00BC51D5"/>
    <w:rsid w:val="00C01971"/>
    <w:rsid w:val="00C043AF"/>
    <w:rsid w:val="00C05847"/>
    <w:rsid w:val="00C05F84"/>
    <w:rsid w:val="00C33274"/>
    <w:rsid w:val="00C654D6"/>
    <w:rsid w:val="00C729D2"/>
    <w:rsid w:val="00CA4762"/>
    <w:rsid w:val="00CB0D7B"/>
    <w:rsid w:val="00CD28C6"/>
    <w:rsid w:val="00CE332C"/>
    <w:rsid w:val="00D13B62"/>
    <w:rsid w:val="00D5703D"/>
    <w:rsid w:val="00D85955"/>
    <w:rsid w:val="00DC2983"/>
    <w:rsid w:val="00E00A99"/>
    <w:rsid w:val="00E0648D"/>
    <w:rsid w:val="00E80522"/>
    <w:rsid w:val="00E9085D"/>
    <w:rsid w:val="00EC3C0C"/>
    <w:rsid w:val="00F02A1F"/>
    <w:rsid w:val="00F2125C"/>
    <w:rsid w:val="00F26019"/>
    <w:rsid w:val="00F941D0"/>
    <w:rsid w:val="00FA5C23"/>
    <w:rsid w:val="00FB50C0"/>
    <w:rsid w:val="00FD2DBF"/>
    <w:rsid w:val="00FE5652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9378C"/>
  <w15:docId w15:val="{6848D9D4-E5F0-497D-8EE3-A606906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next w:val="a"/>
    <w:link w:val="50"/>
    <w:unhideWhenUsed/>
    <w:qFormat/>
    <w:rsid w:val="001863B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link w:val="60"/>
    <w:uiPriority w:val="99"/>
    <w:qFormat/>
    <w:rsid w:val="001863BA"/>
    <w:pPr>
      <w:ind w:left="260"/>
      <w:outlineLvl w:val="5"/>
    </w:pPr>
    <w:rPr>
      <w:rFonts w:ascii="標楷體" w:eastAsia="標楷體" w:hAnsi="標楷體"/>
      <w:kern w:val="0"/>
      <w:sz w:val="32"/>
      <w:szCs w:val="32"/>
      <w:lang w:eastAsia="en-US"/>
    </w:rPr>
  </w:style>
  <w:style w:type="paragraph" w:styleId="8">
    <w:name w:val="heading 8"/>
    <w:basedOn w:val="a"/>
    <w:link w:val="80"/>
    <w:uiPriority w:val="99"/>
    <w:qFormat/>
    <w:rsid w:val="001863BA"/>
    <w:pPr>
      <w:ind w:left="100"/>
      <w:outlineLvl w:val="7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9">
    <w:name w:val="heading 9"/>
    <w:basedOn w:val="a"/>
    <w:link w:val="90"/>
    <w:uiPriority w:val="99"/>
    <w:qFormat/>
    <w:rsid w:val="001863BA"/>
    <w:pPr>
      <w:ind w:left="100"/>
      <w:outlineLvl w:val="8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1863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rsid w:val="001863BA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80">
    <w:name w:val="標題 8 字元"/>
    <w:basedOn w:val="a0"/>
    <w:link w:val="8"/>
    <w:uiPriority w:val="99"/>
    <w:rsid w:val="001863BA"/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character" w:customStyle="1" w:styleId="90">
    <w:name w:val="標題 9 字元"/>
    <w:basedOn w:val="a0"/>
    <w:link w:val="9"/>
    <w:uiPriority w:val="99"/>
    <w:rsid w:val="001863BA"/>
    <w:rPr>
      <w:rFonts w:ascii="標楷體" w:eastAsia="標楷體" w:hAnsi="標楷體"/>
      <w:kern w:val="0"/>
      <w:sz w:val="26"/>
      <w:szCs w:val="26"/>
      <w:lang w:eastAsia="en-US"/>
    </w:rPr>
  </w:style>
  <w:style w:type="paragraph" w:styleId="a3">
    <w:name w:val="footer"/>
    <w:aliases w:val=" 字元 字元,字元 字元"/>
    <w:basedOn w:val="a"/>
    <w:link w:val="a4"/>
    <w:uiPriority w:val="99"/>
    <w:unhideWhenUsed/>
    <w:rsid w:val="00186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qFormat/>
    <w:rsid w:val="001863BA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63BA"/>
    <w:rPr>
      <w:kern w:val="0"/>
      <w:sz w:val="22"/>
      <w:lang w:eastAsia="en-US"/>
    </w:rPr>
  </w:style>
  <w:style w:type="paragraph" w:styleId="a5">
    <w:name w:val="Body Text"/>
    <w:basedOn w:val="a"/>
    <w:link w:val="a6"/>
    <w:qFormat/>
    <w:rsid w:val="001863BA"/>
    <w:pPr>
      <w:ind w:left="100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qFormat/>
    <w:rsid w:val="001863BA"/>
    <w:rPr>
      <w:rFonts w:ascii="標楷體" w:eastAsia="標楷體" w:hAnsi="標楷體"/>
      <w:kern w:val="0"/>
      <w:szCs w:val="24"/>
      <w:lang w:eastAsia="en-US"/>
    </w:rPr>
  </w:style>
  <w:style w:type="paragraph" w:styleId="a7">
    <w:name w:val="List Paragraph"/>
    <w:basedOn w:val="a"/>
    <w:link w:val="a8"/>
    <w:uiPriority w:val="34"/>
    <w:qFormat/>
    <w:rsid w:val="001863BA"/>
    <w:pPr>
      <w:ind w:leftChars="200" w:left="480"/>
    </w:pPr>
  </w:style>
  <w:style w:type="character" w:customStyle="1" w:styleId="a8">
    <w:name w:val="清單段落 字元"/>
    <w:link w:val="a7"/>
    <w:uiPriority w:val="34"/>
    <w:rsid w:val="001863BA"/>
  </w:style>
  <w:style w:type="paragraph" w:customStyle="1" w:styleId="Default">
    <w:name w:val="Default"/>
    <w:qFormat/>
    <w:rsid w:val="001863BA"/>
    <w:pPr>
      <w:widowControl w:val="0"/>
      <w:autoSpaceDE w:val="0"/>
      <w:autoSpaceDN w:val="0"/>
      <w:adjustRightInd w:val="0"/>
    </w:pPr>
    <w:rPr>
      <w:rFonts w:ascii="標楷體..." w:eastAsia="標楷體..." w:cs="標楷體...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8D2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D28E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C14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C14FD"/>
  </w:style>
  <w:style w:type="character" w:customStyle="1" w:styleId="af">
    <w:name w:val="註解文字 字元"/>
    <w:basedOn w:val="a0"/>
    <w:link w:val="ae"/>
    <w:uiPriority w:val="99"/>
    <w:semiHidden/>
    <w:rsid w:val="006C14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14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C14FD"/>
    <w:rPr>
      <w:b/>
      <w:bCs/>
    </w:rPr>
  </w:style>
  <w:style w:type="character" w:styleId="af2">
    <w:name w:val="Hyperlink"/>
    <w:basedOn w:val="a0"/>
    <w:uiPriority w:val="99"/>
    <w:unhideWhenUsed/>
    <w:rsid w:val="003C2B06"/>
    <w:rPr>
      <w:color w:val="0563C1" w:themeColor="hyperlink"/>
      <w:u w:val="single"/>
    </w:rPr>
  </w:style>
  <w:style w:type="paragraph" w:customStyle="1" w:styleId="default0">
    <w:name w:val="default"/>
    <w:basedOn w:val="a"/>
    <w:rsid w:val="002219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page number"/>
    <w:basedOn w:val="a0"/>
    <w:rsid w:val="00F2125C"/>
  </w:style>
  <w:style w:type="paragraph" w:styleId="af4">
    <w:name w:val="No Spacing"/>
    <w:uiPriority w:val="1"/>
    <w:qFormat/>
    <w:rsid w:val="00F2125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ab5679</dc:creator>
  <cp:lastModifiedBy>Administrator</cp:lastModifiedBy>
  <cp:revision>2</cp:revision>
  <cp:lastPrinted>2020-10-08T07:14:00Z</cp:lastPrinted>
  <dcterms:created xsi:type="dcterms:W3CDTF">2021-09-30T00:45:00Z</dcterms:created>
  <dcterms:modified xsi:type="dcterms:W3CDTF">2021-09-30T00:45:00Z</dcterms:modified>
</cp:coreProperties>
</file>